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300" w:lineRule="auto"/>
        <w:jc w:val="center"/>
      </w:pPr>
      <w:r>
        <w:rPr>
          <w:rFonts w:ascii="Times New Roman" w:hAnsi="Times New Roman"/>
          <w:b/>
          <w:i w:val="0"/>
          <w:color w:val="0F172A"/>
          <w:sz w:val="28"/>
        </w:rPr>
        <w:t>TÀI LIỆU ĐỀ XUẤT YÊU CẦU NGHIỆP VỤ VÀ TÍNH NĂNG KỸ THUẬT</w:t>
      </w:r>
    </w:p>
    <w:p>
      <w:pPr>
        <w:spacing w:before="0" w:after="120" w:line="300" w:lineRule="auto"/>
        <w:jc w:val="center"/>
      </w:pPr>
      <w:r>
        <w:rPr>
          <w:rFonts w:ascii="Times New Roman" w:hAnsi="Times New Roman"/>
          <w:b/>
          <w:i w:val="0"/>
          <w:color w:val="1E3A8A"/>
          <w:sz w:val="28"/>
        </w:rPr>
        <w:t>ỨNG DỤNG DI ĐỘNG (MOBILE APP) ĐIỀU HÀNH DỮ LIỆU Y TẾ VĨ MÔ TỈNH NGHỆ AN</w:t>
      </w:r>
    </w:p>
    <w:p>
      <w:pPr>
        <w:spacing w:before="0" w:after="280" w:line="300" w:lineRule="auto"/>
        <w:jc w:val="center"/>
      </w:pPr>
      <w:r>
        <w:rPr>
          <w:rFonts w:ascii="Times New Roman" w:hAnsi="Times New Roman"/>
          <w:b w:val="0"/>
          <w:i/>
          <w:color w:val="64748B"/>
          <w:sz w:val="28"/>
        </w:rPr>
        <w:t>(Đề xuất phương án thiết kế kỹ thuật phục vụ tham khảo và đóng góp ý kiến)</w:t>
      </w:r>
    </w:p>
    <w:p>
      <w:pPr>
        <w:spacing w:before="160" w:after="120" w:line="300" w:lineRule="auto"/>
        <w:jc w:val="both"/>
      </w:pPr>
      <w:r>
        <w:rPr>
          <w:rFonts w:ascii="Times New Roman" w:hAnsi="Times New Roman"/>
          <w:b/>
          <w:i w:val="0"/>
          <w:color w:val="1E3A8A"/>
          <w:sz w:val="28"/>
        </w:rPr>
        <w:t>I. MỤC TIÊU ĐỀ XUẤT VÀ PHẠM VI ỨNG DỤNG</w:t>
      </w:r>
    </w:p>
    <w:p>
      <w:pPr>
        <w:spacing w:before="0" w:after="120" w:line="300" w:lineRule="auto"/>
        <w:jc w:val="both"/>
      </w:pPr>
      <w:r>
        <w:rPr>
          <w:rFonts w:ascii="Times New Roman" w:hAnsi="Times New Roman"/>
          <w:b/>
          <w:i w:val="0"/>
          <w:color w:val="000000"/>
          <w:sz w:val="28"/>
        </w:rPr>
        <w:t>1. Mục tiêu tổng quát</w:t>
      </w:r>
    </w:p>
    <w:p>
      <w:pPr>
        <w:spacing w:after="100" w:line="300" w:lineRule="auto"/>
        <w:ind w:left="425"/>
        <w:jc w:val="both"/>
      </w:pPr>
      <w:r>
        <w:rPr>
          <w:rFonts w:ascii="Times New Roman" w:hAnsi="Times New Roman"/>
          <w:b/>
          <w:sz w:val="28"/>
        </w:rPr>
        <w:t>- Mục tiêu 1:</w:t>
      </w:r>
      <w:r>
        <w:rPr>
          <w:rFonts w:ascii="Times New Roman" w:hAnsi="Times New Roman"/>
          <w:sz w:val="28"/>
        </w:rPr>
        <w:t xml:space="preserve"> Xây dựng mô hình ứng dụng di động thông minh (Executive Health Mobile App) kết nối trực tiếp với Kho dữ liệu y tế dùng chung (Data Lake ClickHouse) tỉnh Nghệ An. Dữ liệu được đồng bộ định kỳ hằng ngày (chu kỳ T-1), cung cấp bức tranh vĩ mô toàn diện phục vụ quản trị và theo dõi hoạt động y tế.</w:t>
      </w:r>
    </w:p>
    <w:p>
      <w:pPr>
        <w:spacing w:after="100" w:line="300" w:lineRule="auto"/>
        <w:ind w:left="425"/>
        <w:jc w:val="both"/>
      </w:pPr>
      <w:r>
        <w:rPr>
          <w:rFonts w:ascii="Times New Roman" w:hAnsi="Times New Roman"/>
          <w:b/>
          <w:sz w:val="28"/>
        </w:rPr>
        <w:t>- Mục tiêu 2:</w:t>
      </w:r>
      <w:r>
        <w:rPr>
          <w:rFonts w:ascii="Times New Roman" w:hAnsi="Times New Roman"/>
          <w:sz w:val="28"/>
        </w:rPr>
        <w:t xml:space="preserve"> Cung cấp công cụ tra cứu, theo dõi và phân tích xu hướng 29 chỉ tiêu thống kê then chốt của ngành y tế, phục vụ công tác đánh giá định kỳ, chuẩn bị số liệu phục vụ các phiên họp giao ban và báo cáo chuyên đề.</w:t>
      </w:r>
    </w:p>
    <w:p>
      <w:pPr>
        <w:spacing w:after="100" w:line="300" w:lineRule="auto"/>
        <w:ind w:left="425"/>
        <w:jc w:val="both"/>
      </w:pPr>
      <w:r>
        <w:rPr>
          <w:rFonts w:ascii="Times New Roman" w:hAnsi="Times New Roman"/>
          <w:b/>
          <w:sz w:val="28"/>
        </w:rPr>
        <w:t>- Mục tiêu 3:</w:t>
      </w:r>
      <w:r>
        <w:rPr>
          <w:rFonts w:ascii="Times New Roman" w:hAnsi="Times New Roman"/>
          <w:sz w:val="28"/>
        </w:rPr>
        <w:t xml:space="preserve"> Khai thác tối đa các chỉ số vĩ mô chuyên sâu từ dữ liệu chuẩn đầu ra viện phí theo Quyết định số 4750/QĐ-BYT ngày 29/12/2023 của Bộ Y tế: Chi phí KCB BHYT, cơ cấu nguồn thu viện phí, chi phí bình quân lượt khám ngoại trú/nội trú, mô hình bệnh tật ICD-10 hàng đầu, tỷ lệ phẫu thuật và tỷ lệ sử dụng thuốc nội.</w:t>
      </w:r>
    </w:p>
    <w:p>
      <w:pPr>
        <w:spacing w:after="100" w:line="300" w:lineRule="auto"/>
        <w:ind w:left="425"/>
        <w:jc w:val="both"/>
      </w:pPr>
      <w:r>
        <w:rPr>
          <w:rFonts w:ascii="Times New Roman" w:hAnsi="Times New Roman"/>
          <w:b/>
          <w:sz w:val="28"/>
        </w:rPr>
        <w:t>- Mục tiêu 4:</w:t>
      </w:r>
      <w:r>
        <w:rPr>
          <w:rFonts w:ascii="Times New Roman" w:hAnsi="Times New Roman"/>
          <w:sz w:val="28"/>
        </w:rPr>
        <w:t xml:space="preserve"> Giám sát hiệu quả hoạt động vĩ mô của 42 cơ sở khám chữa bệnh (tuyến tỉnh, bệnh viện cơ sở, ngoài công lập) và 130 xã/phường: Tỷ lệ lấp đầy giường bệnh, công suất điều trị, xu hướng dịch bệnh theo mùa, tỷ lệ bao phủ tiêm chủng, tiến độ giải ngân dự toán BHYT và cung ứng thuốc.</w:t>
      </w:r>
    </w:p>
    <w:p>
      <w:pPr>
        <w:spacing w:after="100" w:line="300" w:lineRule="auto"/>
        <w:ind w:left="425"/>
        <w:jc w:val="both"/>
      </w:pPr>
      <w:r>
        <w:rPr>
          <w:rFonts w:ascii="Times New Roman" w:hAnsi="Times New Roman"/>
          <w:b/>
          <w:sz w:val="28"/>
        </w:rPr>
        <w:t>- Mục tiêu 5:</w:t>
      </w:r>
      <w:r>
        <w:rPr>
          <w:rFonts w:ascii="Times New Roman" w:hAnsi="Times New Roman"/>
          <w:sz w:val="28"/>
        </w:rPr>
        <w:t xml:space="preserve"> Thiết lập kênh trao đổi thông tin, ghi chú công việc và đôn đốc tiến độ thực hiện các mục tiêu chuyên môn giữa các phòng ban và đơn vị y tế trên địa bàn tỉnh.</w:t>
      </w:r>
    </w:p>
    <w:p>
      <w:pPr>
        <w:spacing w:before="120" w:after="120" w:line="300" w:lineRule="auto"/>
        <w:jc w:val="both"/>
      </w:pPr>
      <w:r>
        <w:rPr>
          <w:rFonts w:ascii="Times New Roman" w:hAnsi="Times New Roman"/>
          <w:b/>
          <w:i w:val="0"/>
          <w:color w:val="000000"/>
          <w:sz w:val="28"/>
        </w:rPr>
        <w:t>2. Đối tượng sử dụng và phạm vi phân quyền đề xuất</w:t>
      </w:r>
    </w:p>
    <w:p>
      <w:pPr>
        <w:spacing w:after="100" w:line="300" w:lineRule="auto"/>
        <w:ind w:left="425"/>
        <w:jc w:val="both"/>
      </w:pPr>
      <w:r>
        <w:rPr>
          <w:rFonts w:ascii="Times New Roman" w:hAnsi="Times New Roman"/>
          <w:b/>
          <w:sz w:val="28"/>
        </w:rPr>
        <w:t>- Nhóm Quản trị Vĩ mô:</w:t>
      </w:r>
      <w:r>
        <w:rPr>
          <w:rFonts w:ascii="Times New Roman" w:hAnsi="Times New Roman"/>
          <w:sz w:val="28"/>
        </w:rPr>
        <w:t xml:space="preserve"> Phục vụ Lãnh đạo ngành y tế theo dõi toàn bộ số liệu vĩ mô toàn tỉnh, 29 chỉ số thống kê, bảng xếp hạng cơ sở, trao đổi công việc và xuất báo cáo tổng hợp.</w:t>
      </w:r>
    </w:p>
    <w:p>
      <w:pPr>
        <w:spacing w:after="100" w:line="300" w:lineRule="auto"/>
        <w:ind w:left="425"/>
        <w:jc w:val="both"/>
      </w:pPr>
      <w:r>
        <w:rPr>
          <w:rFonts w:ascii="Times New Roman" w:hAnsi="Times New Roman"/>
          <w:b/>
          <w:sz w:val="28"/>
        </w:rPr>
        <w:t>- Nhóm Phòng ban Chuyên môn:</w:t>
      </w:r>
      <w:r>
        <w:rPr>
          <w:rFonts w:ascii="Times New Roman" w:hAnsi="Times New Roman"/>
          <w:sz w:val="28"/>
        </w:rPr>
        <w:t xml:space="preserve"> Theo dõi chuyên sâu chỉ số lĩnh vực phòng ban phụ trách (Nghiệp vụ Y, Nghiệp vụ Dược, Kế hoạch Tài chính, Tổ chức Cán bộ, Thanh tra) và tổng hợp báo cáo tiến độ.</w:t>
      </w:r>
    </w:p>
    <w:p>
      <w:pPr>
        <w:spacing w:after="100" w:line="300" w:lineRule="auto"/>
        <w:ind w:left="425"/>
        <w:jc w:val="both"/>
      </w:pPr>
      <w:r>
        <w:rPr>
          <w:rFonts w:ascii="Times New Roman" w:hAnsi="Times New Roman"/>
          <w:b/>
          <w:sz w:val="28"/>
        </w:rPr>
        <w:t>- Nhóm Cơ sở KCB &amp; Đơn vị Y tế:</w:t>
      </w:r>
      <w:r>
        <w:rPr>
          <w:rFonts w:ascii="Times New Roman" w:hAnsi="Times New Roman"/>
          <w:sz w:val="28"/>
        </w:rPr>
        <w:t xml:space="preserve"> Đại diện các Bệnh viện đa khoa/chuyên khoa tuyến tỉnh, các Bệnh viện cơ sở và 06 TTYT khu vực theo dõi số liệu đơn vị mình trong mối tương quan mặt bằng chung toàn tỉnh và cập nhật kết quả phối hợp công tác.</w:t>
      </w:r>
    </w:p>
    <w:p>
      <w:pPr>
        <w:spacing w:before="160" w:after="120" w:line="300" w:lineRule="auto"/>
        <w:jc w:val="both"/>
      </w:pPr>
      <w:r>
        <w:rPr>
          <w:rFonts w:ascii="Times New Roman" w:hAnsi="Times New Roman"/>
          <w:b/>
          <w:i w:val="0"/>
          <w:color w:val="1E3A8A"/>
          <w:sz w:val="28"/>
        </w:rPr>
        <w:t>II. PHẠM VI DỮ LIỆU TÍCH HỢP TỪ KHO DATA LAKE</w:t>
      </w:r>
    </w:p>
    <w:p>
      <w:pPr>
        <w:spacing w:before="0" w:after="120" w:line="300" w:lineRule="auto"/>
        <w:jc w:val="both"/>
      </w:pPr>
      <w:r>
        <w:rPr>
          <w:rFonts w:ascii="Times New Roman" w:hAnsi="Times New Roman"/>
          <w:b w:val="0"/>
          <w:i w:val="0"/>
          <w:color w:val="000000"/>
          <w:sz w:val="28"/>
        </w:rPr>
        <w:t>Dữ liệu trên Mobile App được đề xuất khai thác từ Data Lake y tế (ClickHouse Data Warehouse) với chu kỳ đồng bộ định kỳ ngày (độ trễ T-1), bao gồm các phân hệ sau:</w:t>
      </w:r>
    </w:p>
    <w:p>
      <w:pPr>
        <w:spacing w:after="100" w:line="300" w:lineRule="auto"/>
        <w:ind w:left="425"/>
        <w:jc w:val="both"/>
      </w:pPr>
      <w:r>
        <w:rPr>
          <w:rFonts w:ascii="Times New Roman" w:hAnsi="Times New Roman"/>
          <w:b/>
          <w:sz w:val="28"/>
        </w:rPr>
        <w:t>1. Phân hệ Khám chữa bệnh &amp; Viện phí (QĐ 4750/QĐ-BYT):</w:t>
      </w:r>
      <w:r>
        <w:rPr>
          <w:rFonts w:ascii="Times New Roman" w:hAnsi="Times New Roman"/>
          <w:sz w:val="28"/>
        </w:rPr>
        <w:t xml:space="preserve"> Khai thác các bảng dữ liệu chuẩn đầu ra (Bảng 1 Tổng hợp KCB, Bảng 2 Thuốc, Bảng 3 DVKT, Bảng 4 Vật tư máu, Bảng 5 Vật tư y tế). Cung cấp các chỉ báo vĩ mô cốt lõi: Tổng chi phí KCB BHYT phát sinh, chi phí bình quân 1 lượt khám ngoại trú và 1 đợt điều trị nội trú, cơ cấu chi phí (tiền thuốc, ngày giường, xét nghiệm, CĐHA, phẫu thuật), tỷ lệ phẫu thuật loại đặc biệt và loại 1, tỷ lệ bệnh nhân KCB đúng tuyến, mô hình bệnh tật ICD-10 mắc nhiều nhất, tỷ lệ chi phí thuốc sản xuất trong nước.</w:t>
      </w:r>
    </w:p>
    <w:p>
      <w:pPr>
        <w:spacing w:after="100" w:line="300" w:lineRule="auto"/>
        <w:ind w:left="425"/>
        <w:jc w:val="both"/>
      </w:pPr>
      <w:r>
        <w:rPr>
          <w:rFonts w:ascii="Times New Roman" w:hAnsi="Times New Roman"/>
          <w:b/>
          <w:sz w:val="28"/>
        </w:rPr>
        <w:t>2. Phân hệ 29 Chỉ số Thống kê Ngành Y tế:</w:t>
      </w:r>
      <w:r>
        <w:rPr>
          <w:rFonts w:ascii="Times New Roman" w:hAnsi="Times New Roman"/>
          <w:sz w:val="28"/>
        </w:rPr>
        <w:t xml:space="preserve"> Tích hợp toàn bộ 29 chỉ số từ danh mục chỉ tiêu: Nhóm chỉ tiêu KT-XH (Bác sĩ/vạn dân, Giường bệnh/vạn dân, Tỷ lệ BHYT, Xã đạt chuẩn quốc gia, Trẻ suy dinh dưỡng thấp còi, Tuổi thọ trung bình, Tỷ suất tử vong mẹ/trẻ em, Tiêm chủng đầy đủ, TYT có bác sĩ, Dược sĩ ĐH/vạn dân, Nước sạch &amp; nhà tiêu HVS); Nhóm chỉ số điều hành thường xuyên (Dịch bệnh truyền nhiễm, Ổ dịch, Công suất giường, Chuyển tuyến, Ngộ độc thực phẩm, Thiếu thuốc/vật tư, Tai nạn thương tích, PAKN tiếp nhận/xử lý, Biến động nhân lực bác sĩ, Tự chủ tài chính &amp; nợ BHYT); Nhóm Chuyển đổi số y tế (Sổ SK VNeID, Bệnh án điện tử EMR, Khám định kỳ NQ 72, Dùng CCCD KCB, Kết nối Kho dữ liệu y tế tỉnh, Đơn thuốc điện tử QG, TTHC trực tuyến toàn trình).</w:t>
      </w:r>
    </w:p>
    <w:p>
      <w:pPr>
        <w:spacing w:after="100" w:line="300" w:lineRule="auto"/>
        <w:ind w:left="425"/>
        <w:jc w:val="both"/>
      </w:pPr>
      <w:r>
        <w:rPr>
          <w:rFonts w:ascii="Times New Roman" w:hAnsi="Times New Roman"/>
          <w:b/>
          <w:sz w:val="28"/>
        </w:rPr>
        <w:t>3. Phân hệ Giám sát Dịch tễ &amp; Sức khỏe cộng đồng:</w:t>
      </w:r>
      <w:r>
        <w:rPr>
          <w:rFonts w:ascii="Times New Roman" w:hAnsi="Times New Roman"/>
          <w:sz w:val="28"/>
        </w:rPr>
        <w:t xml:space="preserve"> Khai thác từ CSDL y tế dự phòng và báo cáo dịch bệnh. Theo dõi biến động số ca mắc theo tuần/tháng của các bệnh truyền nhiễm trọng điểm (Sốt xuất huyết, Tay chân miệng, Sởi) và các ổ dịch đang theo dõi khoanh vùng.</w:t>
      </w:r>
    </w:p>
    <w:p>
      <w:pPr>
        <w:spacing w:after="100" w:line="300" w:lineRule="auto"/>
        <w:ind w:left="425"/>
        <w:jc w:val="both"/>
      </w:pPr>
      <w:r>
        <w:rPr>
          <w:rFonts w:ascii="Times New Roman" w:hAnsi="Times New Roman"/>
          <w:b/>
          <w:sz w:val="28"/>
        </w:rPr>
        <w:t>4. Phân hệ Tiêm chủng mở rộng:</w:t>
      </w:r>
      <w:r>
        <w:rPr>
          <w:rFonts w:ascii="Times New Roman" w:hAnsi="Times New Roman"/>
          <w:sz w:val="28"/>
        </w:rPr>
        <w:t xml:space="preserve"> Tích hợp từ Hệ thống Quản lý Tiêm chủng Quốc gia, theo dõi tỷ lệ bao phủ vaccine đầy đủ ở trẻ dưới 1 tuổi phân bổ theo 130 xã/phường (chuẩn hóa mô hình địa giới hành chính mới), chỉ ra các xã có nguy cơ tụt tỷ lệ.</w:t>
      </w:r>
    </w:p>
    <w:p>
      <w:pPr>
        <w:spacing w:after="100" w:line="300" w:lineRule="auto"/>
        <w:ind w:left="425"/>
        <w:jc w:val="both"/>
      </w:pPr>
      <w:r>
        <w:rPr>
          <w:rFonts w:ascii="Times New Roman" w:hAnsi="Times New Roman"/>
          <w:b/>
          <w:sz w:val="28"/>
        </w:rPr>
        <w:t>5. Phân hệ Quản lý Cung ứng Dược &amp; Đấu thầu:</w:t>
      </w:r>
      <w:r>
        <w:rPr>
          <w:rFonts w:ascii="Times New Roman" w:hAnsi="Times New Roman"/>
          <w:sz w:val="28"/>
        </w:rPr>
        <w:t xml:space="preserve"> Tích hợp báo cáo tồn kho dược bệnh viện và tiến độ đấu thầu thuốc tập trung cấp tỉnh; giám sát tỷ lệ sử dụng thuốc theo hợp đồng trúng thầu và cảnh báo sớm cơ sở có xu hướng thiếu hụt thuốc thiết yếu.</w:t>
      </w:r>
    </w:p>
    <w:p>
      <w:pPr>
        <w:spacing w:after="100" w:line="300" w:lineRule="auto"/>
        <w:ind w:left="425"/>
        <w:jc w:val="both"/>
      </w:pPr>
      <w:r>
        <w:rPr>
          <w:rFonts w:ascii="Times New Roman" w:hAnsi="Times New Roman"/>
          <w:b/>
          <w:sz w:val="28"/>
        </w:rPr>
        <w:t>6. Phân hệ Tài chính Y tế &amp; Quỹ BHYT:</w:t>
      </w:r>
      <w:r>
        <w:rPr>
          <w:rFonts w:ascii="Times New Roman" w:hAnsi="Times New Roman"/>
          <w:sz w:val="28"/>
        </w:rPr>
        <w:t xml:space="preserve"> Tổng hợp dữ liệu từ cơ quan Bảo hiểm xã hội và Cổng giám định BHYT; giám sát tiến độ sử dụng dự toán chi KCB BHYT, tỷ lệ sử dụng quỹ và các khoản chi phí KCB BHYT chưa quyết toán.</w:t>
      </w:r>
    </w:p>
    <w:p>
      <w:pPr>
        <w:spacing w:after="100" w:line="300" w:lineRule="auto"/>
        <w:ind w:left="425"/>
        <w:jc w:val="both"/>
      </w:pPr>
      <w:r>
        <w:rPr>
          <w:rFonts w:ascii="Times New Roman" w:hAnsi="Times New Roman"/>
          <w:b/>
          <w:sz w:val="28"/>
        </w:rPr>
        <w:t>7. Phân hệ Đường dây nóng &amp; Tiếp nhận ý kiến:</w:t>
      </w:r>
      <w:r>
        <w:rPr>
          <w:rFonts w:ascii="Times New Roman" w:hAnsi="Times New Roman"/>
          <w:sz w:val="28"/>
        </w:rPr>
        <w:t xml:space="preserve"> Thống kê số lượng phản ánh kiến nghị tiếp nhận theo từng cơ sở KCB, tỷ lệ giải quyết đúng hạn và chỉ số hài lòng của người dân.</w:t>
      </w:r>
    </w:p>
    <w:p>
      <w:pPr>
        <w:spacing w:before="160" w:after="120" w:line="300" w:lineRule="auto"/>
        <w:jc w:val="both"/>
      </w:pPr>
      <w:r>
        <w:rPr>
          <w:rFonts w:ascii="Times New Roman" w:hAnsi="Times New Roman"/>
          <w:b/>
          <w:i w:val="0"/>
          <w:color w:val="1E3A8A"/>
          <w:sz w:val="28"/>
        </w:rPr>
        <w:t>III. YÊU CẦU CẤU TRÚC CHỨC NĂNG CỦA MOBILE APP</w:t>
      </w:r>
    </w:p>
    <w:p>
      <w:pPr>
        <w:spacing w:before="0" w:after="120" w:line="300" w:lineRule="auto"/>
        <w:jc w:val="both"/>
      </w:pPr>
      <w:r>
        <w:rPr>
          <w:rFonts w:ascii="Times New Roman" w:hAnsi="Times New Roman"/>
          <w:b w:val="0"/>
          <w:i w:val="0"/>
          <w:color w:val="000000"/>
          <w:sz w:val="28"/>
        </w:rPr>
        <w:t>Ứng dụng di động được đề xuất cấu trúc thành 05 phân hệ chức năng điều hành vĩ mô:</w:t>
      </w:r>
    </w:p>
    <w:p>
      <w:pPr>
        <w:spacing w:before="0" w:after="120" w:line="300" w:lineRule="auto"/>
        <w:jc w:val="both"/>
      </w:pPr>
      <w:r>
        <w:rPr>
          <w:rFonts w:ascii="Times New Roman" w:hAnsi="Times New Roman"/>
          <w:b/>
          <w:i w:val="0"/>
          <w:color w:val="000000"/>
          <w:sz w:val="28"/>
        </w:rPr>
        <w:t>Phân hệ 1: Dashboard Tổng quan Vĩ mô (Executive Macro Cockpit)</w:t>
      </w:r>
    </w:p>
    <w:p>
      <w:pPr>
        <w:spacing w:after="100" w:line="300" w:lineRule="auto"/>
        <w:ind w:left="425"/>
        <w:jc w:val="both"/>
      </w:pPr>
      <w:r>
        <w:rPr>
          <w:rFonts w:ascii="Times New Roman" w:hAnsi="Times New Roman"/>
          <w:b/>
          <w:sz w:val="28"/>
        </w:rPr>
        <w:t>- Thẻ Chỉ số Vĩ mô Cốt lõi:</w:t>
      </w:r>
      <w:r>
        <w:rPr>
          <w:rFonts w:ascii="Times New Roman" w:hAnsi="Times New Roman"/>
          <w:sz w:val="28"/>
        </w:rPr>
        <w:t xml:space="preserve"> Hiển thị các chỉ số tổng hợp toàn tỉnh tính đến ngày T-1: Lượt khám ngoại trú, lượt điều trị nội trú, công suất giường bệnh toàn tỉnh, tổng chi phí KCB BHYT phát sinh, tỷ lệ bao phủ BHYT toàn dân, tỷ lệ tiêm chủng đầy đủ, tỷ lệ tích hợp VNeID.</w:t>
      </w:r>
    </w:p>
    <w:p>
      <w:pPr>
        <w:spacing w:after="100" w:line="300" w:lineRule="auto"/>
        <w:ind w:left="425"/>
        <w:jc w:val="both"/>
      </w:pPr>
      <w:r>
        <w:rPr>
          <w:rFonts w:ascii="Times New Roman" w:hAnsi="Times New Roman"/>
          <w:b/>
          <w:sz w:val="28"/>
        </w:rPr>
        <w:t>- Khối Chỉ số Vĩ mô từ Quyết định số 4750/QĐ-BYT:</w:t>
      </w:r>
      <w:r>
        <w:rPr>
          <w:rFonts w:ascii="Times New Roman" w:hAnsi="Times New Roman"/>
          <w:sz w:val="28"/>
        </w:rPr>
        <w:t xml:space="preserve"> Hiển thị chi phí bình quân 1 lượt khám ngoại trú và 1 đợt điều trị nội trú; biểu đồ phân bổ cơ cấu chi phí KCB (Tiền thuốc, Dịch vụ kỹ thuật &amp; Phẫu thuật, Ngày giường, Vật tư &amp; Máu); tỷ lệ KCB đúng tuyến vs trái tuyến; Top 5 nhóm bệnh tật ICD-10 mắc nhiều nhất; tỷ lệ phẫu thuật loại đặc biệt và loại 1; tỷ lệ chi phí thuốc sản xuất trong nước.</w:t>
      </w:r>
    </w:p>
    <w:p>
      <w:pPr>
        <w:spacing w:after="100" w:line="300" w:lineRule="auto"/>
        <w:ind w:left="425"/>
        <w:jc w:val="both"/>
      </w:pPr>
      <w:r>
        <w:rPr>
          <w:rFonts w:ascii="Times New Roman" w:hAnsi="Times New Roman"/>
          <w:b/>
          <w:sz w:val="28"/>
        </w:rPr>
        <w:t>- Khung Tóm tắt Điểm tin Vĩ mô:</w:t>
      </w:r>
      <w:r>
        <w:rPr>
          <w:rFonts w:ascii="Times New Roman" w:hAnsi="Times New Roman"/>
          <w:sz w:val="28"/>
        </w:rPr>
        <w:t xml:space="preserve"> Tự động phân tích và đưa ra thông tin tổng luận nổi bật nhất trong kỳ (so sánh tăng/giảm so với cùng kỳ tháng trước và cùng kỳ năm trước).</w:t>
      </w:r>
    </w:p>
    <w:p>
      <w:pPr>
        <w:spacing w:after="100" w:line="300" w:lineRule="auto"/>
        <w:ind w:left="425"/>
        <w:jc w:val="both"/>
      </w:pPr>
      <w:r>
        <w:rPr>
          <w:rFonts w:ascii="Times New Roman" w:hAnsi="Times New Roman"/>
          <w:b/>
          <w:sz w:val="28"/>
        </w:rPr>
        <w:t>- Nút Truy cập Nhanh 29 Chỉ số Tỉnh quan tâm:</w:t>
      </w:r>
      <w:r>
        <w:rPr>
          <w:rFonts w:ascii="Times New Roman" w:hAnsi="Times New Roman"/>
          <w:sz w:val="28"/>
        </w:rPr>
        <w:t xml:space="preserve"> Nút truy cập trực tiếp danh mục 29 chỉ tiêu phân theo 3 nhóm, hiển thị rõ tiến độ thực tế so với mục tiêu kế hoạch đề ra.</w:t>
      </w:r>
    </w:p>
    <w:p>
      <w:pPr>
        <w:spacing w:after="100" w:line="300" w:lineRule="auto"/>
        <w:ind w:left="425"/>
        <w:jc w:val="both"/>
      </w:pPr>
      <w:r>
        <w:rPr>
          <w:rFonts w:ascii="Times New Roman" w:hAnsi="Times New Roman"/>
          <w:b/>
          <w:sz w:val="28"/>
        </w:rPr>
        <w:t>- Xuất Báo cáo Tóm tắt:</w:t>
      </w:r>
      <w:r>
        <w:rPr>
          <w:rFonts w:ascii="Times New Roman" w:hAnsi="Times New Roman"/>
          <w:sz w:val="28"/>
        </w:rPr>
        <w:t xml:space="preserve"> Tính năng 1-chạm tạo ảnh Infographic hoặc file tóm tắt số liệu toàn ngành gửi nhanh phục vụ các buổi họp và báo cáo chuyên đề.</w:t>
      </w:r>
    </w:p>
    <w:p>
      <w:pPr>
        <w:spacing w:before="80" w:after="120" w:line="300" w:lineRule="auto"/>
        <w:jc w:val="both"/>
      </w:pPr>
      <w:r>
        <w:rPr>
          <w:rFonts w:ascii="Times New Roman" w:hAnsi="Times New Roman"/>
          <w:b/>
          <w:i w:val="0"/>
          <w:color w:val="000000"/>
          <w:sz w:val="28"/>
        </w:rPr>
        <w:t>Phân hệ 2: Giám sát Hệ thống Khám chữa bệnh &amp; Cơ sở Y tế</w:t>
      </w:r>
    </w:p>
    <w:p>
      <w:pPr>
        <w:spacing w:after="100" w:line="300" w:lineRule="auto"/>
        <w:ind w:left="425"/>
        <w:jc w:val="both"/>
      </w:pPr>
      <w:r>
        <w:rPr>
          <w:rFonts w:ascii="Times New Roman" w:hAnsi="Times New Roman"/>
          <w:b/>
          <w:sz w:val="28"/>
        </w:rPr>
        <w:t>- Danh sách 42 Cơ sở KCB:</w:t>
      </w:r>
      <w:r>
        <w:rPr>
          <w:rFonts w:ascii="Times New Roman" w:hAnsi="Times New Roman"/>
          <w:sz w:val="28"/>
        </w:rPr>
        <w:t xml:space="preserve"> Hiển thị toàn bộ các bệnh viện tuyến tỉnh, trung tâm y tế tuyến huyện và bệnh viện tư nhân, phân nhóm theo công suất giường bệnh (trên 100%, 90-100%, dưới 90%).</w:t>
      </w:r>
    </w:p>
    <w:p>
      <w:pPr>
        <w:spacing w:after="100" w:line="300" w:lineRule="auto"/>
        <w:ind w:left="425"/>
        <w:jc w:val="both"/>
      </w:pPr>
      <w:r>
        <w:rPr>
          <w:rFonts w:ascii="Times New Roman" w:hAnsi="Times New Roman"/>
          <w:b/>
          <w:sz w:val="28"/>
        </w:rPr>
        <w:t>- Thẻ Đánh giá Hoạt động Bệnh viện:</w:t>
      </w:r>
      <w:r>
        <w:rPr>
          <w:rFonts w:ascii="Times New Roman" w:hAnsi="Times New Roman"/>
          <w:sz w:val="28"/>
        </w:rPr>
        <w:t xml:space="preserve"> Xem chi tiết chỉ tiêu từng viện: Số lượt khám trong kỳ, số ca nội trú, ngày điều trị trung bình (ALOS), tỷ lệ chuyển viện tuyến trên, công suất sử dụng giường bệnh kế hoạch, chi phí bình quân ngoại/nội trú của viện.</w:t>
      </w:r>
    </w:p>
    <w:p>
      <w:pPr>
        <w:spacing w:after="100" w:line="300" w:lineRule="auto"/>
        <w:ind w:left="425"/>
        <w:jc w:val="both"/>
      </w:pPr>
      <w:r>
        <w:rPr>
          <w:rFonts w:ascii="Times New Roman" w:hAnsi="Times New Roman"/>
          <w:b/>
          <w:sz w:val="28"/>
        </w:rPr>
        <w:t>- So sánh &amp; Đánh giá Hiệu suất:</w:t>
      </w:r>
      <w:r>
        <w:rPr>
          <w:rFonts w:ascii="Times New Roman" w:hAnsi="Times New Roman"/>
          <w:sz w:val="28"/>
        </w:rPr>
        <w:t xml:space="preserve"> Bảng phân tích hiệu suất hoạt động giữa các bệnh viện cùng hạng, phát hiện các đơn vị có dấu hiệu quá tải kéo dài hoặc công suất sử dụng giường thấp để phục vụ điều tiết chuyên môn.</w:t>
      </w:r>
    </w:p>
    <w:p>
      <w:pPr>
        <w:spacing w:before="80" w:after="120" w:line="300" w:lineRule="auto"/>
        <w:jc w:val="both"/>
      </w:pPr>
      <w:r>
        <w:rPr>
          <w:rFonts w:ascii="Times New Roman" w:hAnsi="Times New Roman"/>
          <w:b/>
          <w:i w:val="0"/>
          <w:color w:val="000000"/>
          <w:sz w:val="28"/>
        </w:rPr>
        <w:t>Phân hệ 3: Y tế Dự phòng &amp; Giám sát 130 Xã/Phường</w:t>
      </w:r>
    </w:p>
    <w:p>
      <w:pPr>
        <w:spacing w:after="100" w:line="300" w:lineRule="auto"/>
        <w:ind w:left="425"/>
        <w:jc w:val="both"/>
      </w:pPr>
      <w:r>
        <w:rPr>
          <w:rFonts w:ascii="Times New Roman" w:hAnsi="Times New Roman"/>
          <w:b/>
          <w:sz w:val="28"/>
        </w:rPr>
        <w:t>- Xu hướng Dịch bệnh 130 Xã/Phường:</w:t>
      </w:r>
      <w:r>
        <w:rPr>
          <w:rFonts w:ascii="Times New Roman" w:hAnsi="Times New Roman"/>
          <w:sz w:val="28"/>
        </w:rPr>
        <w:t xml:space="preserve"> Thể hiện số ca mắc dịch bệnh tích lũy (Sốt xuất huyết, Tay chân miệng, Sởi) trên địa bàn 130 xã/phường sau sáp nhập; so sánh với đường cong dịch tễ cùng kỳ năm trước.</w:t>
      </w:r>
    </w:p>
    <w:p>
      <w:pPr>
        <w:spacing w:after="100" w:line="300" w:lineRule="auto"/>
        <w:ind w:left="425"/>
        <w:jc w:val="both"/>
      </w:pPr>
      <w:r>
        <w:rPr>
          <w:rFonts w:ascii="Times New Roman" w:hAnsi="Times New Roman"/>
          <w:b/>
          <w:sz w:val="28"/>
        </w:rPr>
        <w:t>- Giám sát Ổ dịch Hoạt động:</w:t>
      </w:r>
      <w:r>
        <w:rPr>
          <w:rFonts w:ascii="Times New Roman" w:hAnsi="Times New Roman"/>
          <w:sz w:val="28"/>
        </w:rPr>
        <w:t xml:space="preserve"> Tổng hợp danh sách các ổ dịch đang trong thời gian theo dõi khoanh vùng, tiến độ các biện pháp can thiệp của y tế cơ sở.</w:t>
      </w:r>
    </w:p>
    <w:p>
      <w:pPr>
        <w:spacing w:after="100" w:line="300" w:lineRule="auto"/>
        <w:ind w:left="425"/>
        <w:jc w:val="both"/>
      </w:pPr>
      <w:r>
        <w:rPr>
          <w:rFonts w:ascii="Times New Roman" w:hAnsi="Times New Roman"/>
          <w:b/>
          <w:sz w:val="28"/>
        </w:rPr>
        <w:t>- Giám sát Vùng lõm Tiêm chủng:</w:t>
      </w:r>
      <w:r>
        <w:rPr>
          <w:rFonts w:ascii="Times New Roman" w:hAnsi="Times New Roman"/>
          <w:sz w:val="28"/>
        </w:rPr>
        <w:t xml:space="preserve"> Liệt kê danh sách các xã có tỷ lệ tiêm chủng dưới 85% để phục vụ kế hoạch tiêm vét và bố trí nguồn lực hỗ trợ tuyến xã vùng khó khăn.</w:t>
      </w:r>
    </w:p>
    <w:p>
      <w:pPr>
        <w:spacing w:after="100" w:line="300" w:lineRule="auto"/>
        <w:ind w:left="425"/>
        <w:jc w:val="both"/>
      </w:pPr>
      <w:r>
        <w:rPr>
          <w:rFonts w:ascii="Times New Roman" w:hAnsi="Times New Roman"/>
          <w:b/>
          <w:sz w:val="28"/>
        </w:rPr>
        <w:t>- Tiêu chí Quốc gia Y tế Xã:</w:t>
      </w:r>
      <w:r>
        <w:rPr>
          <w:rFonts w:ascii="Times New Roman" w:hAnsi="Times New Roman"/>
          <w:sz w:val="28"/>
        </w:rPr>
        <w:t xml:space="preserve"> Thống kê tỷ lệ và danh sách các xã/phường đạt Bộ tiêu chí quốc gia về y tế theo thang điểm chuẩn mới.</w:t>
      </w:r>
    </w:p>
    <w:p>
      <w:pPr>
        <w:spacing w:before="80" w:after="120" w:line="300" w:lineRule="auto"/>
        <w:jc w:val="both"/>
      </w:pPr>
      <w:r>
        <w:rPr>
          <w:rFonts w:ascii="Times New Roman" w:hAnsi="Times New Roman"/>
          <w:b/>
          <w:i w:val="0"/>
          <w:color w:val="000000"/>
          <w:sz w:val="28"/>
        </w:rPr>
        <w:t>Phân hệ 4: Cung ứng Dược, Quỹ BHYT &amp; Chuyển đổi số Đề án 06</w:t>
      </w:r>
    </w:p>
    <w:p>
      <w:pPr>
        <w:spacing w:after="100" w:line="300" w:lineRule="auto"/>
        <w:ind w:left="425"/>
        <w:jc w:val="both"/>
      </w:pPr>
      <w:r>
        <w:rPr>
          <w:rFonts w:ascii="Times New Roman" w:hAnsi="Times New Roman"/>
          <w:b/>
          <w:sz w:val="28"/>
        </w:rPr>
        <w:t>- Cảnh báo Dự trữ Dược &amp; Vật tư:</w:t>
      </w:r>
      <w:r>
        <w:rPr>
          <w:rFonts w:ascii="Times New Roman" w:hAnsi="Times New Roman"/>
          <w:sz w:val="28"/>
        </w:rPr>
        <w:t xml:space="preserve"> Thống kê danh mục thuốc thiết yếu, dịch truyền có số ngày dự trữ tồn kho thấp tại các bệnh viện để kịp thời đôn đốc cung ứng hoặc điều tiết kho dự phòng.</w:t>
      </w:r>
    </w:p>
    <w:p>
      <w:pPr>
        <w:spacing w:after="100" w:line="300" w:lineRule="auto"/>
        <w:ind w:left="425"/>
        <w:jc w:val="both"/>
      </w:pPr>
      <w:r>
        <w:rPr>
          <w:rFonts w:ascii="Times New Roman" w:hAnsi="Times New Roman"/>
          <w:b/>
          <w:sz w:val="28"/>
        </w:rPr>
        <w:t>- Giám sát Tiến độ Đấu thầu:</w:t>
      </w:r>
      <w:r>
        <w:rPr>
          <w:rFonts w:ascii="Times New Roman" w:hAnsi="Times New Roman"/>
          <w:sz w:val="28"/>
        </w:rPr>
        <w:t xml:space="preserve"> Theo dõi tiến độ mở thầu, chấm thầu và kết quả thực hiện các gói thầu thuốc tập trung cấp tỉnh.</w:t>
      </w:r>
    </w:p>
    <w:p>
      <w:pPr>
        <w:spacing w:after="100" w:line="300" w:lineRule="auto"/>
        <w:ind w:left="425"/>
        <w:jc w:val="both"/>
      </w:pPr>
      <w:r>
        <w:rPr>
          <w:rFonts w:ascii="Times New Roman" w:hAnsi="Times New Roman"/>
          <w:b/>
          <w:sz w:val="28"/>
        </w:rPr>
        <w:t>- Giám sát Dự toán Quỹ BHYT:</w:t>
      </w:r>
      <w:r>
        <w:rPr>
          <w:rFonts w:ascii="Times New Roman" w:hAnsi="Times New Roman"/>
          <w:sz w:val="28"/>
        </w:rPr>
        <w:t xml:space="preserve"> Theo dõi tiến độ sử dụng quỹ BHYT toàn tỉnh so với trần dự toán giao năm 2026, cảnh báo các cơ sở có nguy cơ vượt dự toán và công nợ BHYT treo.</w:t>
      </w:r>
    </w:p>
    <w:p>
      <w:pPr>
        <w:spacing w:after="100" w:line="300" w:lineRule="auto"/>
        <w:ind w:left="425"/>
        <w:jc w:val="both"/>
      </w:pPr>
      <w:r>
        <w:rPr>
          <w:rFonts w:ascii="Times New Roman" w:hAnsi="Times New Roman"/>
          <w:b/>
          <w:sz w:val="28"/>
        </w:rPr>
        <w:t>- Bảng Đua Top Chuyển đổi số:</w:t>
      </w:r>
      <w:r>
        <w:rPr>
          <w:rFonts w:ascii="Times New Roman" w:hAnsi="Times New Roman"/>
          <w:sz w:val="28"/>
        </w:rPr>
        <w:t xml:space="preserve"> Xếp hạng thi đua giữa các huyện và bệnh viện về: Tỷ lệ Sổ SK điện tử VNeID, đón tiếp bằng CCCD, triển khai Bệnh án điện tử EMR và Đơn thuốc điện tử.</w:t>
      </w:r>
    </w:p>
    <w:p>
      <w:pPr>
        <w:spacing w:before="80" w:after="120" w:line="300" w:lineRule="auto"/>
        <w:jc w:val="both"/>
      </w:pPr>
      <w:r>
        <w:rPr>
          <w:rFonts w:ascii="Times New Roman" w:hAnsi="Times New Roman"/>
          <w:b/>
          <w:i w:val="0"/>
          <w:color w:val="000000"/>
          <w:sz w:val="28"/>
        </w:rPr>
        <w:t>Phân hệ 5: Ghi chú Công việc &amp; Trung tâm Báo cáo</w:t>
      </w:r>
    </w:p>
    <w:p>
      <w:pPr>
        <w:spacing w:after="100" w:line="300" w:lineRule="auto"/>
        <w:ind w:left="425"/>
        <w:jc w:val="both"/>
      </w:pPr>
      <w:r>
        <w:rPr>
          <w:rFonts w:ascii="Times New Roman" w:hAnsi="Times New Roman"/>
          <w:b/>
          <w:sz w:val="28"/>
        </w:rPr>
        <w:t>- Soạn Ghi chú &amp; Trao đổi Công việc:</w:t>
      </w:r>
      <w:r>
        <w:rPr>
          <w:rFonts w:ascii="Times New Roman" w:hAnsi="Times New Roman"/>
          <w:sz w:val="28"/>
        </w:rPr>
        <w:t xml:space="preserve"> Cho phép tạo thông báo, trao đổi công việc tới các phòng ban hoặc cơ sở y tế kèm thời hạn hoàn thành phục vụ phối hợp tác nghiệp.</w:t>
      </w:r>
    </w:p>
    <w:p>
      <w:pPr>
        <w:spacing w:after="100" w:line="300" w:lineRule="auto"/>
        <w:ind w:left="425"/>
        <w:jc w:val="both"/>
      </w:pPr>
      <w:r>
        <w:rPr>
          <w:rFonts w:ascii="Times New Roman" w:hAnsi="Times New Roman"/>
          <w:b/>
          <w:sz w:val="28"/>
        </w:rPr>
        <w:t>- Theo dõi Tiến độ Nhiệm vụ:</w:t>
      </w:r>
      <w:r>
        <w:rPr>
          <w:rFonts w:ascii="Times New Roman" w:hAnsi="Times New Roman"/>
          <w:sz w:val="28"/>
        </w:rPr>
        <w:t xml:space="preserve"> Bảng theo dõi việc thực hiện công việc của các đơn vị: Đã tiếp nhận, Đang xử lý, Đã hoàn thành.</w:t>
      </w:r>
    </w:p>
    <w:p>
      <w:pPr>
        <w:spacing w:after="100" w:line="300" w:lineRule="auto"/>
        <w:ind w:left="425"/>
        <w:jc w:val="both"/>
      </w:pPr>
      <w:r>
        <w:rPr>
          <w:rFonts w:ascii="Times New Roman" w:hAnsi="Times New Roman"/>
          <w:b/>
          <w:sz w:val="28"/>
        </w:rPr>
        <w:t>- Giám sát Đường dây nóng:</w:t>
      </w:r>
      <w:r>
        <w:rPr>
          <w:rFonts w:ascii="Times New Roman" w:hAnsi="Times New Roman"/>
          <w:sz w:val="28"/>
        </w:rPr>
        <w:t xml:space="preserve"> Thống kê tình hình giải quyết phản ánh kiến nghị của người dân qua tổng đài, theo dõi các đơn vị có phản ánh tồn đọng.</w:t>
      </w:r>
    </w:p>
    <w:p>
      <w:pPr>
        <w:spacing w:before="160" w:after="120" w:line="300" w:lineRule="auto"/>
        <w:jc w:val="both"/>
      </w:pPr>
      <w:r>
        <w:rPr>
          <w:rFonts w:ascii="Times New Roman" w:hAnsi="Times New Roman"/>
          <w:b/>
          <w:i w:val="0"/>
          <w:color w:val="1E3A8A"/>
          <w:sz w:val="28"/>
        </w:rPr>
        <w:t>IV. YÊU CẦU PHI CHỨC NĂNG VÀ QUY CHUẨN KỸ THUẬT ĐỀ XUẤT</w:t>
      </w:r>
    </w:p>
    <w:p>
      <w:pPr>
        <w:spacing w:after="100" w:line="300" w:lineRule="auto"/>
        <w:ind w:left="425"/>
        <w:jc w:val="both"/>
      </w:pPr>
      <w:r>
        <w:rPr>
          <w:rFonts w:ascii="Times New Roman" w:hAnsi="Times New Roman"/>
          <w:b/>
          <w:sz w:val="28"/>
        </w:rPr>
        <w:t>1. Nền tảng phát triển:</w:t>
      </w:r>
      <w:r>
        <w:rPr>
          <w:rFonts w:ascii="Times New Roman" w:hAnsi="Times New Roman"/>
          <w:sz w:val="28"/>
        </w:rPr>
        <w:t xml:space="preserve"> Xây dựng trên nền tảng di động đa nền tảng (Flutter / React Native), hỗ trợ hệ điều hành iOS 15.0+ và Android 10.0+.</w:t>
      </w:r>
    </w:p>
    <w:p>
      <w:pPr>
        <w:spacing w:after="100" w:line="300" w:lineRule="auto"/>
        <w:ind w:left="425"/>
        <w:jc w:val="both"/>
      </w:pPr>
      <w:r>
        <w:rPr>
          <w:rFonts w:ascii="Times New Roman" w:hAnsi="Times New Roman"/>
          <w:b/>
          <w:sz w:val="28"/>
        </w:rPr>
        <w:t>2. Hiệu năng &amp; Tốc độ:</w:t>
      </w:r>
      <w:r>
        <w:rPr>
          <w:rFonts w:ascii="Times New Roman" w:hAnsi="Times New Roman"/>
          <w:sz w:val="28"/>
        </w:rPr>
        <w:t xml:space="preserve"> Thời gian mở màn hình dưới 1.5 giây, tốc độ lọc dữ liệu dưới 0.8 giây; hỗ trợ lưu đệm (Caching) dữ liệu phiên gần nhất để xem khi không có kết nối mạng.</w:t>
      </w:r>
    </w:p>
    <w:p>
      <w:pPr>
        <w:spacing w:after="100" w:line="300" w:lineRule="auto"/>
        <w:ind w:left="425"/>
        <w:jc w:val="both"/>
      </w:pPr>
      <w:r>
        <w:rPr>
          <w:rFonts w:ascii="Times New Roman" w:hAnsi="Times New Roman"/>
          <w:b/>
          <w:sz w:val="28"/>
        </w:rPr>
        <w:t>3. An toàn thông tin &amp; Bảo mật:</w:t>
      </w:r>
      <w:r>
        <w:rPr>
          <w:rFonts w:ascii="Times New Roman" w:hAnsi="Times New Roman"/>
          <w:sz w:val="28"/>
        </w:rPr>
        <w:t xml:space="preserve"> Đáp ứng tiêu chuẩn An toàn hệ thống thông tin Cấp độ 3 (Nghị định 85/2016/NĐ-CP). Xác thực đăng nhập qua Sinh trắc học (FaceID / Vân tay) và mã OTP; mã hóa đường truyền dữ liệu chuẩn TLS 1.3.</w:t>
      </w:r>
    </w:p>
    <w:p>
      <w:pPr>
        <w:spacing w:after="100" w:line="300" w:lineRule="auto"/>
        <w:ind w:left="425"/>
        <w:jc w:val="both"/>
      </w:pPr>
      <w:r>
        <w:rPr>
          <w:rFonts w:ascii="Times New Roman" w:hAnsi="Times New Roman"/>
          <w:b/>
          <w:sz w:val="28"/>
        </w:rPr>
        <w:t>4. Bảo vệ dữ liệu cá nhân:</w:t>
      </w:r>
      <w:r>
        <w:rPr>
          <w:rFonts w:ascii="Times New Roman" w:hAnsi="Times New Roman"/>
          <w:sz w:val="28"/>
        </w:rPr>
        <w:t xml:space="preserve"> Tuân thủ Nghị định 13/2023/NĐ-CP; chỉ hiển thị số liệu vĩ mô và thống kê tổng hợp, ẩn danh hoàn toàn thông tin định danh cá nhân của người bệnh.</w:t>
      </w:r>
    </w:p>
    <w:p>
      <w:pPr>
        <w:spacing w:after="100" w:line="300" w:lineRule="auto"/>
        <w:ind w:left="425"/>
        <w:jc w:val="both"/>
      </w:pPr>
      <w:r>
        <w:rPr>
          <w:rFonts w:ascii="Times New Roman" w:hAnsi="Times New Roman"/>
          <w:b/>
          <w:sz w:val="28"/>
        </w:rPr>
        <w:t>5. Khả năng mở rộng:</w:t>
      </w:r>
      <w:r>
        <w:rPr>
          <w:rFonts w:ascii="Times New Roman" w:hAnsi="Times New Roman"/>
          <w:sz w:val="28"/>
        </w:rPr>
        <w:t xml:space="preserve"> Kiến trúc API Microservices kết nối DataLake ClickHouse, sẵn sàng mở rộng tích hợp thêm các nguồn dữ liệu mới khi mở rộng Kho dữ liệu ngành.</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