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300" w:lineRule="auto"/>
        <w:jc w:val="center"/>
      </w:pPr>
      <w:r>
        <w:rPr>
          <w:rFonts w:ascii="Times New Roman" w:hAnsi="Times New Roman"/>
          <w:b/>
          <w:i w:val="0"/>
          <w:color w:val="0F172A"/>
          <w:sz w:val="28"/>
        </w:rPr>
        <w:t>HỒ SƠ THIẾT KẾ CHI TIẾT CHỨC NĂNG VÀ TRẢI NGHIỆM GIAO DIỆN (SRS)</w:t>
      </w:r>
    </w:p>
    <w:p>
      <w:pPr>
        <w:spacing w:before="0" w:after="120" w:line="300" w:lineRule="auto"/>
        <w:jc w:val="center"/>
      </w:pPr>
      <w:r>
        <w:rPr>
          <w:rFonts w:ascii="Times New Roman" w:hAnsi="Times New Roman"/>
          <w:b/>
          <w:i w:val="0"/>
          <w:color w:val="1E3A8A"/>
          <w:sz w:val="28"/>
        </w:rPr>
        <w:t>ỨNG DỤNG MOBILE ĐIỀU HÀNH DỮ LIỆU Y TẾ VĨ MÔ TỈNH NGHỆ AN</w:t>
      </w:r>
    </w:p>
    <w:p>
      <w:pPr>
        <w:spacing w:before="0" w:after="280" w:line="300" w:lineRule="auto"/>
        <w:jc w:val="center"/>
      </w:pPr>
      <w:r>
        <w:rPr>
          <w:rFonts w:ascii="Times New Roman" w:hAnsi="Times New Roman"/>
          <w:b w:val="0"/>
          <w:i/>
          <w:color w:val="64748B"/>
          <w:sz w:val="28"/>
        </w:rPr>
        <w:t>(Đề xuất phương án thiết kế wireframe, luồng nghiệp vụ và cấu trúc 5 Tabs)</w:t>
      </w:r>
    </w:p>
    <w:p>
      <w:pPr>
        <w:spacing w:before="160" w:after="120" w:line="300" w:lineRule="auto"/>
        <w:jc w:val="both"/>
      </w:pPr>
      <w:r>
        <w:rPr>
          <w:rFonts w:ascii="Times New Roman" w:hAnsi="Times New Roman"/>
          <w:b/>
          <w:i w:val="0"/>
          <w:color w:val="1E3A8A"/>
          <w:sz w:val="28"/>
        </w:rPr>
        <w:t>CHƯƠNG 1: KIẾN TRÚC TRẢI NGHIỆM NGƯỜI DÙNG VÀ ĐIỀU HƯỚNG</w:t>
      </w:r>
    </w:p>
    <w:p>
      <w:pPr>
        <w:spacing w:before="0" w:after="120" w:line="300" w:lineRule="auto"/>
        <w:jc w:val="both"/>
      </w:pPr>
      <w:r>
        <w:rPr>
          <w:rFonts w:ascii="Times New Roman" w:hAnsi="Times New Roman"/>
          <w:b w:val="0"/>
          <w:i w:val="0"/>
          <w:color w:val="000000"/>
          <w:sz w:val="28"/>
        </w:rPr>
        <w:t>Ứng dụng di động được đề xuất thiết kế tối ưu với cấu trúc Bottom Navigation gồm 05 Tabs chức năng chính:</w:t>
      </w:r>
    </w:p>
    <w:p>
      <w:pPr>
        <w:spacing w:after="100" w:line="300" w:lineRule="auto"/>
        <w:ind w:left="425"/>
        <w:jc w:val="both"/>
      </w:pPr>
      <w:r>
        <w:rPr>
          <w:rFonts w:ascii="Times New Roman" w:hAnsi="Times New Roman"/>
          <w:b/>
          <w:sz w:val="28"/>
        </w:rPr>
        <w:t>1. Tab 1 - Tổng quan Vĩ mô (Executive Cockpit):</w:t>
      </w:r>
      <w:r>
        <w:rPr>
          <w:rFonts w:ascii="Times New Roman" w:hAnsi="Times New Roman"/>
          <w:sz w:val="28"/>
        </w:rPr>
        <w:t xml:space="preserve"> Màn hình tóm tắt vĩ mô toàn ngành tính đến ngày T-1: Lượt khám ngoại trú, bệnh nhân nội trú, công suất sử dụng giường toàn tỉnh, các chỉ số viện phí vĩ mô từ Quyết định số 4750/QĐ-BYT, nút truy cập nhanh 29 chỉ số thống kê ngành, tỷ lệ tiêm chủng đầy đủ, Sổ SK VNeID và điểm tin tóm tắt.</w:t>
      </w:r>
    </w:p>
    <w:p>
      <w:pPr>
        <w:spacing w:after="100" w:line="300" w:lineRule="auto"/>
        <w:ind w:left="425"/>
        <w:jc w:val="both"/>
      </w:pPr>
      <w:r>
        <w:rPr>
          <w:rFonts w:ascii="Times New Roman" w:hAnsi="Times New Roman"/>
          <w:b/>
          <w:sz w:val="28"/>
        </w:rPr>
        <w:t>2. Tab 2 - Cơ sở Khám chữa bệnh (Hospital Performance):</w:t>
      </w:r>
      <w:r>
        <w:rPr>
          <w:rFonts w:ascii="Times New Roman" w:hAnsi="Times New Roman"/>
          <w:sz w:val="28"/>
        </w:rPr>
        <w:t xml:space="preserve"> Giám sát hiệu suất hoạt động và công suất giường của 42 cơ sở KCB (Hạng I tuyến tỉnh, Hạng II, Bệnh viện cơ sở, Bệnh viện ngoài công lập theo QĐ số 3934/QĐ-UBND); phân nhóm đơn vị quá tải hoặc đạt thấp; thời gian điều trị trung bình ALOS, chỉ số chuyển tuyến và chi phí bình quân ngoại/nội trú của từng viện.</w:t>
      </w:r>
    </w:p>
    <w:p>
      <w:pPr>
        <w:spacing w:after="100" w:line="300" w:lineRule="auto"/>
        <w:ind w:left="425"/>
        <w:jc w:val="both"/>
      </w:pPr>
      <w:r>
        <w:rPr>
          <w:rFonts w:ascii="Times New Roman" w:hAnsi="Times New Roman"/>
          <w:b/>
          <w:sz w:val="28"/>
        </w:rPr>
        <w:t>3. Tab 3 - Y tế Dự phòng &amp; 130 Xã/Phường (Public Health Trends):</w:t>
      </w:r>
      <w:r>
        <w:rPr>
          <w:rFonts w:ascii="Times New Roman" w:hAnsi="Times New Roman"/>
          <w:sz w:val="28"/>
        </w:rPr>
        <w:t xml:space="preserve"> Bản đồ phân tầng dịch bệnh (Sốt xuất huyết, Sởi, Tay chân miệng) theo 130 xã/phường sau sáp nhập và giám sát theo mạng lưới 06 TTYT Khu vực theo Quyết định số 3934/QĐ-UBND ngày 03/9/2026 của UBND tỉnh Nghệ An; theo dõi các ổ dịch đang khoanh vùng; cảnh báo xã vùng lõm tiêm chủng &lt;85%; thẩm định tiêu chí y tế xã.</w:t>
      </w:r>
    </w:p>
    <w:p>
      <w:pPr>
        <w:spacing w:after="100" w:line="300" w:lineRule="auto"/>
        <w:ind w:left="425"/>
        <w:jc w:val="both"/>
      </w:pPr>
      <w:r>
        <w:rPr>
          <w:rFonts w:ascii="Times New Roman" w:hAnsi="Times New Roman"/>
          <w:b/>
          <w:sz w:val="28"/>
        </w:rPr>
        <w:t>4. Tab 4 - Dược, Quỹ BHYT &amp; Đua Top Đề án 06:</w:t>
      </w:r>
      <w:r>
        <w:rPr>
          <w:rFonts w:ascii="Times New Roman" w:hAnsi="Times New Roman"/>
          <w:sz w:val="28"/>
        </w:rPr>
        <w:t xml:space="preserve"> Giám sát nguy cơ thiếu hụt thuốc thiết yếu; tiến độ các gói thầu thuốc tập trung cấp tỉnh; tiến độ sử dụng quỹ BHYT toàn tỉnh so với trần dự toán; bảng xếp hạng chuyển đổi số (VNeID, EMR, CCCD, đơn thuốc điện tử).</w:t>
      </w:r>
    </w:p>
    <w:p>
      <w:pPr>
        <w:spacing w:after="100" w:line="300" w:lineRule="auto"/>
        <w:ind w:left="425"/>
        <w:jc w:val="both"/>
      </w:pPr>
      <w:r>
        <w:rPr>
          <w:rFonts w:ascii="Times New Roman" w:hAnsi="Times New Roman"/>
          <w:b/>
          <w:sz w:val="28"/>
        </w:rPr>
        <w:t>5. Tab 5 - Ghi chú Công việc &amp; Trung tâm Báo cáo (Work Center):</w:t>
      </w:r>
      <w:r>
        <w:rPr>
          <w:rFonts w:ascii="Times New Roman" w:hAnsi="Times New Roman"/>
          <w:sz w:val="28"/>
        </w:rPr>
        <w:t xml:space="preserve"> Công cụ tạo ghi chú công việc, phối hợp tác nghiệp giữa các phòng ban chuyên môn và cơ sở y tế; theo dõi tiến độ công việc; công cụ 1-chạm xuất Infographic/Báo cáo tóm tắt phục vụ công tác điều hành.</w:t>
      </w:r>
    </w:p>
    <w:p>
      <w:pPr>
        <w:spacing w:before="160" w:after="120" w:line="300" w:lineRule="auto"/>
        <w:jc w:val="both"/>
      </w:pPr>
      <w:r>
        <w:rPr>
          <w:rFonts w:ascii="Times New Roman" w:hAnsi="Times New Roman"/>
          <w:b/>
          <w:i w:val="0"/>
          <w:color w:val="1E3A8A"/>
          <w:sz w:val="28"/>
        </w:rPr>
        <w:t>CHƯƠNG 2: THIẾT KẾ CHI TIẾT CÁC MÀN HÌNH CHỨC NĂNG</w:t>
      </w:r>
    </w:p>
    <w:p>
      <w:pPr>
        <w:spacing w:before="0" w:after="120" w:line="300" w:lineRule="auto"/>
        <w:jc w:val="both"/>
      </w:pPr>
      <w:r>
        <w:rPr>
          <w:rFonts w:ascii="Times New Roman" w:hAnsi="Times New Roman"/>
          <w:b/>
          <w:i w:val="0"/>
          <w:color w:val="000000"/>
          <w:sz w:val="28"/>
        </w:rPr>
        <w:t>Màn hình 1: Đăng nhập Sinh trắc học &amp; Bảo vệ Phiên làm việc</w:t>
      </w:r>
    </w:p>
    <w:p>
      <w:pPr>
        <w:spacing w:after="100" w:line="300" w:lineRule="auto"/>
        <w:ind w:left="425"/>
        <w:jc w:val="both"/>
      </w:pPr>
      <w:r>
        <w:rPr>
          <w:rFonts w:ascii="Times New Roman" w:hAnsi="Times New Roman"/>
          <w:b/>
          <w:sz w:val="28"/>
        </w:rPr>
        <w:t>- Giao diện đăng nhập:</w:t>
      </w:r>
      <w:r>
        <w:rPr>
          <w:rFonts w:ascii="Times New Roman" w:hAnsi="Times New Roman"/>
          <w:sz w:val="28"/>
        </w:rPr>
        <w:t xml:space="preserve"> Biểu trưng ngành Y tế Nghệ An, tên hệ thống 'Smart Health Executive'. Đăng nhập 1 chạm qua FaceID / TouchID hoặc mã PIN 6 số.</w:t>
      </w:r>
    </w:p>
    <w:p>
      <w:pPr>
        <w:spacing w:after="100" w:line="300" w:lineRule="auto"/>
        <w:ind w:left="425"/>
        <w:jc w:val="both"/>
      </w:pPr>
      <w:r>
        <w:rPr>
          <w:rFonts w:ascii="Times New Roman" w:hAnsi="Times New Roman"/>
          <w:b/>
          <w:sz w:val="28"/>
        </w:rPr>
        <w:t>- An toàn bảo mật:</w:t>
      </w:r>
      <w:r>
        <w:rPr>
          <w:rFonts w:ascii="Times New Roman" w:hAnsi="Times New Roman"/>
          <w:sz w:val="28"/>
        </w:rPr>
        <w:t xml:space="preserve"> Tự động khóa ứng dụng sau 03 phút không thao tác; ngăn chặn chụp màn hình trên các thiết bị để đảm bảo tính an toàn cho dữ liệu ngành.</w:t>
      </w:r>
    </w:p>
    <w:p>
      <w:pPr>
        <w:spacing w:before="80" w:after="120" w:line="300" w:lineRule="auto"/>
        <w:jc w:val="both"/>
      </w:pPr>
      <w:r>
        <w:rPr>
          <w:rFonts w:ascii="Times New Roman" w:hAnsi="Times New Roman"/>
          <w:b/>
          <w:i w:val="0"/>
          <w:color w:val="000000"/>
          <w:sz w:val="28"/>
        </w:rPr>
        <w:t>Màn hình 2: Tab 1 - Dashboard Tổng quan Vĩ mô (Executive Cockpit)</w:t>
      </w:r>
    </w:p>
    <w:p>
      <w:pPr>
        <w:spacing w:after="100" w:line="300" w:lineRule="auto"/>
        <w:ind w:left="425"/>
        <w:jc w:val="both"/>
      </w:pPr>
      <w:r>
        <w:rPr>
          <w:rFonts w:ascii="Times New Roman" w:hAnsi="Times New Roman"/>
          <w:b/>
          <w:sz w:val="28"/>
        </w:rPr>
        <w:t>- Thanh Tiêu đề:</w:t>
      </w:r>
      <w:r>
        <w:rPr>
          <w:rFonts w:ascii="Times New Roman" w:hAnsi="Times New Roman"/>
          <w:sz w:val="28"/>
        </w:rPr>
        <w:t xml:space="preserve"> Hiển thị trạng thái dữ liệu DataLake ('Dữ liệu chốt ngày: Hôm qua T-1'), nút chuyển kỳ phân tích và nút xuất báo cáo nhanh.</w:t>
      </w:r>
    </w:p>
    <w:p>
      <w:pPr>
        <w:spacing w:after="100" w:line="300" w:lineRule="auto"/>
        <w:ind w:left="425"/>
        <w:jc w:val="both"/>
      </w:pPr>
      <w:r>
        <w:rPr>
          <w:rFonts w:ascii="Times New Roman" w:hAnsi="Times New Roman"/>
          <w:b/>
          <w:sz w:val="28"/>
        </w:rPr>
        <w:t>- Hộp Tóm tắt Điểm tin Vĩ mô:</w:t>
      </w:r>
      <w:r>
        <w:rPr>
          <w:rFonts w:ascii="Times New Roman" w:hAnsi="Times New Roman"/>
          <w:sz w:val="28"/>
        </w:rPr>
        <w:t xml:space="preserve"> Tự động tổng hợp thông tin nổi bật nhất trong kỳ về lưu lượng KCB, công suất giường, tình hình dịch bệnh và tiến độ Đề án 06 so với cùng kỳ.</w:t>
      </w:r>
    </w:p>
    <w:p>
      <w:pPr>
        <w:spacing w:after="100" w:line="300" w:lineRule="auto"/>
        <w:ind w:left="425"/>
        <w:jc w:val="both"/>
      </w:pPr>
      <w:r>
        <w:rPr>
          <w:rFonts w:ascii="Times New Roman" w:hAnsi="Times New Roman"/>
          <w:b/>
          <w:sz w:val="28"/>
        </w:rPr>
        <w:t>- Lưới 6 Thẻ KPI Vĩ mô Cốt lõi:</w:t>
      </w:r>
      <w:r>
        <w:rPr>
          <w:rFonts w:ascii="Times New Roman" w:hAnsi="Times New Roman"/>
          <w:sz w:val="28"/>
        </w:rPr>
        <w:t xml:space="preserve"> Gồm: (1) Lượt KCB lũy kế kỳ, (2) Số bệnh nhân nội trú hiện diện, (3) Công suất sử dụng giường bệnh toàn tỉnh, (4) Số ổ dịch đang theo dõi, (5) Tỷ lệ tiêm chủng đầy đủ toàn tỉnh, (6) Tỷ lệ tích hợp Sổ SK điện tử VNeID.</w:t>
      </w:r>
    </w:p>
    <w:p>
      <w:pPr>
        <w:spacing w:after="100" w:line="300" w:lineRule="auto"/>
        <w:ind w:left="425"/>
        <w:jc w:val="both"/>
      </w:pPr>
      <w:r>
        <w:rPr>
          <w:rFonts w:ascii="Times New Roman" w:hAnsi="Times New Roman"/>
          <w:b/>
          <w:sz w:val="28"/>
        </w:rPr>
        <w:t>- Khối Chỉ số Chuyên sâu theo Quyết định số 4750/QĐ-BYT:</w:t>
      </w:r>
      <w:r>
        <w:rPr>
          <w:rFonts w:ascii="Times New Roman" w:hAnsi="Times New Roman"/>
          <w:sz w:val="28"/>
        </w:rPr>
        <w:t xml:space="preserve"> Bổ sung khối hiển thị chuyên sâu các chỉ số vĩ mô khai thác từ dữ liệu chuẩn đầu ra viện phí: (a) Tổng chi phí KCB BHYT phát sinh trong kỳ; (b) Chi phí bình quân 1 lượt khám ngoại trú (342.000 đ) và 1 đợt nội trú (5.420.000 đ); (c) Cơ cấu chi phí KCB (Tiền thuốc 34.2%, DVKT &amp; Phẫu thuật 38.5%, Tiền giường 18.2%, Vật tư &amp; Máu 9.1%); (d) Tỷ lệ bệnh nhân KCB đúng tuyến (86.4%) vs Thông tuyến/Trái tuyến (13.6%); (e) Mô hình bệnh tật ICD-10 hàng đầu; (f) Tỷ lệ phẫu thuật loại đặc biệt và loại 1 (31.4%); (g) Tỷ lệ chi phí thuốc nội sản xuất trong nước (58.6%).</w:t>
      </w:r>
    </w:p>
    <w:p>
      <w:pPr>
        <w:spacing w:after="100" w:line="300" w:lineRule="auto"/>
        <w:ind w:left="425"/>
        <w:jc w:val="both"/>
      </w:pPr>
      <w:r>
        <w:rPr>
          <w:rFonts w:ascii="Times New Roman" w:hAnsi="Times New Roman"/>
          <w:b/>
          <w:sz w:val="28"/>
        </w:rPr>
        <w:t>- Chức năng Hiển thị 29 Chỉ số Thống kê Ngành Y tế:</w:t>
      </w:r>
      <w:r>
        <w:rPr>
          <w:rFonts w:ascii="Times New Roman" w:hAnsi="Times New Roman"/>
          <w:sz w:val="28"/>
        </w:rPr>
        <w:t xml:space="preserve"> Tích hợp nút chuyển đổi nhanh `[⭐ 29 Chỉ số Thống kê Ngành Y tế]`. Cho phép xem chi tiết 3 nhóm chỉ số: 11 Chỉ tiêu KT-XH cấp tỉnh, 11 Chỉ số điều hành thường xuyên và 7 Chỉ số Chuyển đổi số y tế; hiển thị rõ giá trị thực tế, mục tiêu kế hoạch và đánh giá trạng thái Đạt/Chưa đạt.</w:t>
      </w:r>
    </w:p>
    <w:p>
      <w:pPr>
        <w:spacing w:before="80" w:after="120" w:line="300" w:lineRule="auto"/>
        <w:jc w:val="both"/>
      </w:pPr>
      <w:r>
        <w:rPr>
          <w:rFonts w:ascii="Times New Roman" w:hAnsi="Times New Roman"/>
          <w:b/>
          <w:i w:val="0"/>
          <w:color w:val="000000"/>
          <w:sz w:val="28"/>
        </w:rPr>
        <w:t>Màn hình 3: Tab 2 - Giám sát Hệ thống Khám chữa bệnh &amp; Cơ sở Y tế</w:t>
      </w:r>
    </w:p>
    <w:p>
      <w:pPr>
        <w:spacing w:after="100" w:line="300" w:lineRule="auto"/>
        <w:ind w:left="425"/>
        <w:jc w:val="both"/>
      </w:pPr>
      <w:r>
        <w:rPr>
          <w:rFonts w:ascii="Times New Roman" w:hAnsi="Times New Roman"/>
          <w:b/>
          <w:sz w:val="28"/>
        </w:rPr>
        <w:t>- Bộ lọc Phân loại Cơ sở:</w:t>
      </w:r>
      <w:r>
        <w:rPr>
          <w:rFonts w:ascii="Times New Roman" w:hAnsi="Times New Roman"/>
          <w:sz w:val="28"/>
        </w:rPr>
        <w:t xml:space="preserve"> Lọc nhanh: [Tất cả (42)] - [Hạng I (6)] - [Hạng II (7)] - [Bệnh viện Cơ sở (21)] - [Ngoài công lập (8)] - [Công suất &gt;100%].</w:t>
      </w:r>
    </w:p>
    <w:p>
      <w:pPr>
        <w:spacing w:after="100" w:line="300" w:lineRule="auto"/>
        <w:ind w:left="425"/>
        <w:jc w:val="both"/>
      </w:pPr>
      <w:r>
        <w:rPr>
          <w:rFonts w:ascii="Times New Roman" w:hAnsi="Times New Roman"/>
          <w:b/>
          <w:sz w:val="28"/>
        </w:rPr>
        <w:t>- Danh sách Cơ sở KCB Toàn tỉnh:</w:t>
      </w:r>
      <w:r>
        <w:rPr>
          <w:rFonts w:ascii="Times New Roman" w:hAnsi="Times New Roman"/>
          <w:sz w:val="28"/>
        </w:rPr>
        <w:t xml:space="preserve"> Hiển thị trực quan trạng thái công suất giường theo màu sắc: Đỏ (&gt;100%), Vàng (90-100%), Xanh lá (&lt;90%).</w:t>
      </w:r>
    </w:p>
    <w:p>
      <w:pPr>
        <w:spacing w:after="100" w:line="300" w:lineRule="auto"/>
        <w:ind w:left="425"/>
        <w:jc w:val="both"/>
      </w:pPr>
      <w:r>
        <w:rPr>
          <w:rFonts w:ascii="Times New Roman" w:hAnsi="Times New Roman"/>
          <w:b/>
          <w:sz w:val="28"/>
        </w:rPr>
        <w:t>- Thẻ Chi tiết Đơn vị:</w:t>
      </w:r>
      <w:r>
        <w:rPr>
          <w:rFonts w:ascii="Times New Roman" w:hAnsi="Times New Roman"/>
          <w:sz w:val="28"/>
        </w:rPr>
        <w:t xml:space="preserve"> Xem thông tin: Người đại diện đơn vị, số giường kế hoạch vs thực kê, công suất sử dụng giường, thời gian nằm viện trung bình (ALOS), tỷ lệ chuyển tuyến trên, chi phí bình quân ngoại/nội trú và tỷ lệ sử dụng dự toán BHYT của viện.</w:t>
      </w:r>
    </w:p>
    <w:p>
      <w:pPr>
        <w:spacing w:after="100" w:line="300" w:lineRule="auto"/>
        <w:ind w:left="425"/>
        <w:jc w:val="both"/>
      </w:pPr>
      <w:r>
        <w:rPr>
          <w:rFonts w:ascii="Times New Roman" w:hAnsi="Times New Roman"/>
          <w:b/>
          <w:sz w:val="28"/>
        </w:rPr>
        <w:t>- Chức năng Liên hệ:</w:t>
      </w:r>
      <w:r>
        <w:rPr>
          <w:rFonts w:ascii="Times New Roman" w:hAnsi="Times New Roman"/>
          <w:sz w:val="28"/>
        </w:rPr>
        <w:t xml:space="preserve"> Tích hợp nút gọi điện thoại liên hệ trực tiếp cho cơ sở KCB để nắm bắt tình hình và phối hợp công tác.</w:t>
      </w:r>
    </w:p>
    <w:p>
      <w:pPr>
        <w:spacing w:before="80" w:after="120" w:line="300" w:lineRule="auto"/>
        <w:jc w:val="both"/>
      </w:pPr>
      <w:r>
        <w:rPr>
          <w:rFonts w:ascii="Times New Roman" w:hAnsi="Times New Roman"/>
          <w:b/>
          <w:i w:val="0"/>
          <w:color w:val="000000"/>
          <w:sz w:val="28"/>
        </w:rPr>
        <w:t>Màn hình 4: Tab 3 - Y tế Dự phòng &amp; Giám sát 130 Xã/Phường</w:t>
      </w:r>
    </w:p>
    <w:p>
      <w:pPr>
        <w:spacing w:after="100" w:line="300" w:lineRule="auto"/>
        <w:ind w:left="425"/>
        <w:jc w:val="both"/>
      </w:pPr>
      <w:r>
        <w:rPr>
          <w:rFonts w:ascii="Times New Roman" w:hAnsi="Times New Roman"/>
          <w:b/>
          <w:sz w:val="28"/>
        </w:rPr>
        <w:t>- Mạng lưới 06 TTYT Khu vực:</w:t>
      </w:r>
      <w:r>
        <w:rPr>
          <w:rFonts w:ascii="Times New Roman" w:hAnsi="Times New Roman"/>
          <w:sz w:val="28"/>
        </w:rPr>
        <w:t xml:space="preserve"> Giám sát công tác y tế dự phòng, dân số, an toàn thực phẩm qua 06 TTYT Khu vực (KV1 TP Vinh, KV2 Quỳnh Lưu, KV3 Thái Hòa, KV4 Đô Lương, KV5 Con Cuông, KV6 Kỳ Sơn) theo QĐ số 3934/QĐ-UBND.</w:t>
      </w:r>
    </w:p>
    <w:p>
      <w:pPr>
        <w:spacing w:after="100" w:line="300" w:lineRule="auto"/>
        <w:ind w:left="425"/>
        <w:jc w:val="both"/>
      </w:pPr>
      <w:r>
        <w:rPr>
          <w:rFonts w:ascii="Times New Roman" w:hAnsi="Times New Roman"/>
          <w:b/>
          <w:sz w:val="28"/>
        </w:rPr>
        <w:t>- Bản đồ Dịch bệnh 130 Xã/Phường:</w:t>
      </w:r>
      <w:r>
        <w:rPr>
          <w:rFonts w:ascii="Times New Roman" w:hAnsi="Times New Roman"/>
          <w:sz w:val="28"/>
        </w:rPr>
        <w:t xml:space="preserve"> Thể hiện số ca mắc tích lũy các bệnh truyền nhiễm trọng điểm (Sốt xuất huyết, Tay chân miệng, Sởi) phân bổ theo 130 xã/phường sau sáp nhập.</w:t>
      </w:r>
    </w:p>
    <w:p>
      <w:pPr>
        <w:spacing w:after="100" w:line="300" w:lineRule="auto"/>
        <w:ind w:left="425"/>
        <w:jc w:val="both"/>
      </w:pPr>
      <w:r>
        <w:rPr>
          <w:rFonts w:ascii="Times New Roman" w:hAnsi="Times New Roman"/>
          <w:b/>
          <w:sz w:val="28"/>
        </w:rPr>
        <w:t>- Giám sát Ổ dịch Hoạt động:</w:t>
      </w:r>
      <w:r>
        <w:rPr>
          <w:rFonts w:ascii="Times New Roman" w:hAnsi="Times New Roman"/>
          <w:sz w:val="28"/>
        </w:rPr>
        <w:t xml:space="preserve"> Danh sách chi tiết các ổ dịch đang theo dõi: Tọa độ địa bàn, số ca xác định, ngày ghi nhận, tiến độ xử lý môi trường của y tế cơ sở.</w:t>
      </w:r>
    </w:p>
    <w:p>
      <w:pPr>
        <w:spacing w:after="100" w:line="300" w:lineRule="auto"/>
        <w:ind w:left="425"/>
        <w:jc w:val="both"/>
      </w:pPr>
      <w:r>
        <w:rPr>
          <w:rFonts w:ascii="Times New Roman" w:hAnsi="Times New Roman"/>
          <w:b/>
          <w:sz w:val="28"/>
        </w:rPr>
        <w:t>- Cảnh báo Vùng lõm Tiêm chủng:</w:t>
      </w:r>
      <w:r>
        <w:rPr>
          <w:rFonts w:ascii="Times New Roman" w:hAnsi="Times New Roman"/>
          <w:sz w:val="28"/>
        </w:rPr>
        <w:t xml:space="preserve"> Liệt kê danh sách các xã có tỷ lệ tiêm đủ 8 loại vaccine &lt;85% để lên kế hoạch tiêm vét lưu động.</w:t>
      </w:r>
    </w:p>
    <w:p>
      <w:pPr>
        <w:spacing w:before="80" w:after="120" w:line="300" w:lineRule="auto"/>
        <w:jc w:val="both"/>
      </w:pPr>
      <w:r>
        <w:rPr>
          <w:rFonts w:ascii="Times New Roman" w:hAnsi="Times New Roman"/>
          <w:b/>
          <w:i w:val="0"/>
          <w:color w:val="000000"/>
          <w:sz w:val="28"/>
        </w:rPr>
        <w:t>Màn hình 5: Tab 4 - Cung ứng Dược, Quỹ BHYT &amp; Chuyển đổi số Đề án 06</w:t>
      </w:r>
    </w:p>
    <w:p>
      <w:pPr>
        <w:spacing w:after="100" w:line="300" w:lineRule="auto"/>
        <w:ind w:left="425"/>
        <w:jc w:val="both"/>
      </w:pPr>
      <w:r>
        <w:rPr>
          <w:rFonts w:ascii="Times New Roman" w:hAnsi="Times New Roman"/>
          <w:b/>
          <w:sz w:val="28"/>
        </w:rPr>
        <w:t>- Giám sát Cung ứng Dược &amp; Vật tư:</w:t>
      </w:r>
      <w:r>
        <w:rPr>
          <w:rFonts w:ascii="Times New Roman" w:hAnsi="Times New Roman"/>
          <w:sz w:val="28"/>
        </w:rPr>
        <w:t xml:space="preserve"> Thống kê danh mục thuốc thiết yếu, dịch truyền có số ngày dự trữ tồn kho thấp tại các bệnh viện để kịp thời đôn đốc cung ứng.</w:t>
      </w:r>
    </w:p>
    <w:p>
      <w:pPr>
        <w:spacing w:after="100" w:line="300" w:lineRule="auto"/>
        <w:ind w:left="425"/>
        <w:jc w:val="both"/>
      </w:pPr>
      <w:r>
        <w:rPr>
          <w:rFonts w:ascii="Times New Roman" w:hAnsi="Times New Roman"/>
          <w:b/>
          <w:sz w:val="28"/>
        </w:rPr>
        <w:t>- Tiến độ Đấu thầu Thuốc:</w:t>
      </w:r>
      <w:r>
        <w:rPr>
          <w:rFonts w:ascii="Times New Roman" w:hAnsi="Times New Roman"/>
          <w:sz w:val="28"/>
        </w:rPr>
        <w:t xml:space="preserve"> Theo dõi tiến độ mở thầu, chấm thầu và kết quả lựa chọn nhà thầu các gói thầu thuốc tập trung cấp tỉnh.</w:t>
      </w:r>
    </w:p>
    <w:p>
      <w:pPr>
        <w:spacing w:after="100" w:line="300" w:lineRule="auto"/>
        <w:ind w:left="425"/>
        <w:jc w:val="both"/>
      </w:pPr>
      <w:r>
        <w:rPr>
          <w:rFonts w:ascii="Times New Roman" w:hAnsi="Times New Roman"/>
          <w:b/>
          <w:sz w:val="28"/>
        </w:rPr>
        <w:t>- Quản lý Quỹ BHYT:</w:t>
      </w:r>
      <w:r>
        <w:rPr>
          <w:rFonts w:ascii="Times New Roman" w:hAnsi="Times New Roman"/>
          <w:sz w:val="28"/>
        </w:rPr>
        <w:t xml:space="preserve"> Theo dõi tiến độ sử dụng quỹ BHYT toàn tỉnh so với trần dự toán giao năm 2026, cảnh báo các cơ sở có nguy cơ vượt quỹ và công nợ BHYT treo.</w:t>
      </w:r>
    </w:p>
    <w:p>
      <w:pPr>
        <w:spacing w:after="100" w:line="300" w:lineRule="auto"/>
        <w:ind w:left="425"/>
        <w:jc w:val="both"/>
      </w:pPr>
      <w:r>
        <w:rPr>
          <w:rFonts w:ascii="Times New Roman" w:hAnsi="Times New Roman"/>
          <w:b/>
          <w:sz w:val="28"/>
        </w:rPr>
        <w:t>- Bảng Đua Top Chuyển đổi số:</w:t>
      </w:r>
      <w:r>
        <w:rPr>
          <w:rFonts w:ascii="Times New Roman" w:hAnsi="Times New Roman"/>
          <w:sz w:val="28"/>
        </w:rPr>
        <w:t xml:space="preserve"> Xếp hạng thi đua giữa 130 xã/phường và giữa các bệnh viện về: Sổ SK VNeID, KCB bằng CCCD, Bệnh án điện tử EMR, Đơn thuốc điện tử.</w:t>
      </w:r>
    </w:p>
    <w:p>
      <w:pPr>
        <w:spacing w:before="80" w:after="120" w:line="300" w:lineRule="auto"/>
        <w:jc w:val="both"/>
      </w:pPr>
      <w:r>
        <w:rPr>
          <w:rFonts w:ascii="Times New Roman" w:hAnsi="Times New Roman"/>
          <w:b/>
          <w:i w:val="0"/>
          <w:color w:val="000000"/>
          <w:sz w:val="28"/>
        </w:rPr>
        <w:t>Màn hình 6: Tab 5 - Ghi chú Công việc &amp; Trung tâm Báo cáo</w:t>
      </w:r>
    </w:p>
    <w:p>
      <w:pPr>
        <w:spacing w:after="100" w:line="300" w:lineRule="auto"/>
        <w:ind w:left="425"/>
        <w:jc w:val="both"/>
      </w:pPr>
      <w:r>
        <w:rPr>
          <w:rFonts w:ascii="Times New Roman" w:hAnsi="Times New Roman"/>
          <w:b/>
          <w:sz w:val="28"/>
        </w:rPr>
        <w:t>- Soạn Ghi chú &amp; Trao đổi Công việc:</w:t>
      </w:r>
      <w:r>
        <w:rPr>
          <w:rFonts w:ascii="Times New Roman" w:hAnsi="Times New Roman"/>
          <w:sz w:val="28"/>
        </w:rPr>
        <w:t xml:space="preserve"> Cho phép tạo nội dung ghi chú, trao đổi công việc gửi tới các phòng ban hoặc cơ sở y tế kèm hạn chót hoàn thành.</w:t>
      </w:r>
    </w:p>
    <w:p>
      <w:pPr>
        <w:spacing w:after="100" w:line="300" w:lineRule="auto"/>
        <w:ind w:left="425"/>
        <w:jc w:val="both"/>
      </w:pPr>
      <w:r>
        <w:rPr>
          <w:rFonts w:ascii="Times New Roman" w:hAnsi="Times New Roman"/>
          <w:b/>
          <w:sz w:val="28"/>
        </w:rPr>
        <w:t>- Theo dõi Nhật ký Thực hiện:</w:t>
      </w:r>
      <w:r>
        <w:rPr>
          <w:rFonts w:ascii="Times New Roman" w:hAnsi="Times New Roman"/>
          <w:sz w:val="28"/>
        </w:rPr>
        <w:t xml:space="preserve"> Theo dõi trạng thái tiếp nhận và báo cáo kết quả của các đơn vị: Đã nhận, Đang triển khai, Đã hoàn thành.</w:t>
      </w:r>
    </w:p>
    <w:p>
      <w:pPr>
        <w:spacing w:after="100" w:line="300" w:lineRule="auto"/>
        <w:ind w:left="425"/>
        <w:jc w:val="both"/>
      </w:pPr>
      <w:r>
        <w:rPr>
          <w:rFonts w:ascii="Times New Roman" w:hAnsi="Times New Roman"/>
          <w:b/>
          <w:sz w:val="28"/>
        </w:rPr>
        <w:t>- Giám sát Đường dây nóng:</w:t>
      </w:r>
      <w:r>
        <w:rPr>
          <w:rFonts w:ascii="Times New Roman" w:hAnsi="Times New Roman"/>
          <w:sz w:val="28"/>
        </w:rPr>
        <w:t xml:space="preserve"> Thống kê số lượng phản ánh kiến nghị tiếp nhận theo từng cơ sở KCB, tỷ lệ giải quyết đúng hạn và các đơn vị có phản ánh tồn đọng.</w:t>
      </w:r>
    </w:p>
    <w:p>
      <w:pPr>
        <w:spacing w:after="100" w:line="300" w:lineRule="auto"/>
        <w:ind w:left="425"/>
        <w:jc w:val="both"/>
      </w:pPr>
      <w:r>
        <w:rPr>
          <w:rFonts w:ascii="Times New Roman" w:hAnsi="Times New Roman"/>
          <w:b/>
          <w:sz w:val="28"/>
        </w:rPr>
        <w:t>- Xuất Báo cáo Vĩ mô:</w:t>
      </w:r>
      <w:r>
        <w:rPr>
          <w:rFonts w:ascii="Times New Roman" w:hAnsi="Times New Roman"/>
          <w:sz w:val="28"/>
        </w:rPr>
        <w:t xml:space="preserve"> Tính năng tạo ảnh Infographic dọc (tỷ lệ 9:16) hoặc file PDF tóm tắt toàn bộ số liệu vĩ mô và 29 chỉ tiêu của ngành phục vụ chia sẻ nhanh qua Zalo.</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